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F7" w:rsidRPr="00043365" w:rsidRDefault="001C36F7" w:rsidP="001C36F7">
      <w:pPr>
        <w:spacing w:beforeLines="50" w:before="180" w:line="380" w:lineRule="exact"/>
        <w:rPr>
          <w:rFonts w:ascii="標楷體" w:eastAsia="標楷體" w:hAnsi="標楷體" w:cs="細明體"/>
        </w:rPr>
      </w:pPr>
      <w:r>
        <w:rPr>
          <w:rFonts w:ascii="細明體" w:eastAsia="細明體" w:hAnsi="細明體" w:cs="細明體" w:hint="eastAsia"/>
        </w:rPr>
        <w:t xml:space="preserve">          </w:t>
      </w:r>
      <w:r w:rsidR="00A943B8">
        <w:rPr>
          <w:rFonts w:ascii="細明體" w:eastAsia="細明體" w:hAnsi="細明體" w:cs="細明體" w:hint="eastAsia"/>
        </w:rPr>
        <w:t xml:space="preserve">                                                      </w:t>
      </w:r>
      <w:bookmarkStart w:id="0" w:name="_GoBack"/>
      <w:bookmarkEnd w:id="0"/>
      <w:r w:rsidRPr="00043365">
        <w:rPr>
          <w:rFonts w:ascii="標楷體" w:eastAsia="標楷體" w:hAnsi="標楷體" w:cs="細明體" w:hint="eastAsia"/>
        </w:rPr>
        <w:t xml:space="preserve"> 林釗尚</w:t>
      </w:r>
      <w:r w:rsidR="000F3DD9" w:rsidRPr="00043365">
        <w:rPr>
          <w:rFonts w:ascii="標楷體" w:eastAsia="標楷體" w:hAnsi="標楷體" w:cs="細明體" w:hint="eastAsia"/>
        </w:rPr>
        <w:t>104.9</w:t>
      </w:r>
    </w:p>
    <w:p w:rsidR="001C36F7" w:rsidRPr="00700804" w:rsidRDefault="00261043" w:rsidP="001C36F7">
      <w:pPr>
        <w:numPr>
          <w:ilvl w:val="0"/>
          <w:numId w:val="1"/>
        </w:numPr>
        <w:spacing w:beforeLines="50" w:before="180" w:line="380" w:lineRule="exact"/>
        <w:ind w:left="958"/>
        <w:rPr>
          <w:rFonts w:eastAsia="標楷體" w:cs="Times New Roman"/>
          <w:sz w:val="28"/>
          <w:szCs w:val="28"/>
        </w:rPr>
      </w:pPr>
      <w:r w:rsidRPr="006D13FE">
        <w:rPr>
          <w:rFonts w:ascii="細明體" w:eastAsia="細明體" w:hAnsi="細明體" w:cs="細明體" w:hint="eastAsia"/>
        </w:rPr>
        <w:cr/>
      </w:r>
      <w:r w:rsidR="001C36F7" w:rsidRPr="00700804">
        <w:rPr>
          <w:rFonts w:eastAsia="標楷體" w:cs="Times New Roman" w:hint="eastAsia"/>
          <w:sz w:val="28"/>
          <w:szCs w:val="28"/>
        </w:rPr>
        <w:t>104</w:t>
      </w:r>
      <w:r w:rsidR="001C36F7" w:rsidRPr="00700804">
        <w:rPr>
          <w:rFonts w:eastAsia="標楷體" w:cs="Times New Roman" w:hint="eastAsia"/>
          <w:sz w:val="28"/>
          <w:szCs w:val="28"/>
        </w:rPr>
        <w:t>年第</w:t>
      </w:r>
      <w:r w:rsidR="001C36F7" w:rsidRPr="00700804">
        <w:rPr>
          <w:rFonts w:eastAsia="標楷體" w:cs="Times New Roman" w:hint="eastAsia"/>
          <w:sz w:val="28"/>
          <w:szCs w:val="28"/>
        </w:rPr>
        <w:t>1</w:t>
      </w:r>
      <w:r w:rsidR="001C36F7" w:rsidRPr="00700804">
        <w:rPr>
          <w:rFonts w:eastAsia="標楷體" w:cs="Times New Roman" w:hint="eastAsia"/>
          <w:sz w:val="28"/>
          <w:szCs w:val="28"/>
        </w:rPr>
        <w:t>季西醫基層總額各就醫</w:t>
      </w:r>
      <w:proofErr w:type="gramStart"/>
      <w:r w:rsidR="001C36F7" w:rsidRPr="00700804">
        <w:rPr>
          <w:rFonts w:eastAsia="標楷體" w:cs="Times New Roman" w:hint="eastAsia"/>
          <w:sz w:val="28"/>
          <w:szCs w:val="28"/>
        </w:rPr>
        <w:t>分區點值結算</w:t>
      </w:r>
      <w:proofErr w:type="gramEnd"/>
      <w:r w:rsidR="001C36F7" w:rsidRPr="00700804">
        <w:rPr>
          <w:rFonts w:eastAsia="標楷體" w:cs="Times New Roman" w:hint="eastAsia"/>
          <w:sz w:val="28"/>
          <w:szCs w:val="28"/>
        </w:rPr>
        <w:t>：</w:t>
      </w:r>
    </w:p>
    <w:tbl>
      <w:tblPr>
        <w:tblW w:w="4795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175"/>
        <w:gridCol w:w="1175"/>
        <w:gridCol w:w="1175"/>
        <w:gridCol w:w="1175"/>
        <w:gridCol w:w="1175"/>
        <w:gridCol w:w="1175"/>
        <w:gridCol w:w="1165"/>
      </w:tblGrid>
      <w:tr w:rsidR="001C36F7" w:rsidRPr="00700804" w:rsidTr="00263144">
        <w:trPr>
          <w:trHeight w:hRule="exact" w:val="331"/>
        </w:trPr>
        <w:tc>
          <w:tcPr>
            <w:tcW w:w="637" w:type="pct"/>
            <w:shd w:val="clear" w:color="auto" w:fill="auto"/>
            <w:vAlign w:val="center"/>
          </w:tcPr>
          <w:p w:rsidR="001C36F7" w:rsidRPr="0077670F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 w:rsidRPr="0077670F">
              <w:rPr>
                <w:rFonts w:eastAsia="標楷體" w:cs="Times New Roman" w:hint="eastAsia"/>
                <w:b/>
              </w:rPr>
              <w:t>項目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proofErr w:type="gramStart"/>
            <w:r w:rsidRPr="00700804">
              <w:rPr>
                <w:rFonts w:eastAsia="標楷體" w:cs="Times New Roman" w:hint="eastAsia"/>
              </w:rPr>
              <w:t>臺</w:t>
            </w:r>
            <w:proofErr w:type="gramEnd"/>
            <w:r w:rsidRPr="00700804">
              <w:rPr>
                <w:rFonts w:eastAsia="標楷體" w:cs="Times New Roman" w:hint="eastAsia"/>
              </w:rPr>
              <w:t>北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北區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 w:rsidRPr="00700804">
              <w:rPr>
                <w:rFonts w:eastAsia="標楷體" w:cs="Times New Roman" w:hint="eastAsia"/>
                <w:b/>
              </w:rPr>
              <w:t>中區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南區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高屏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東區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 w:rsidRPr="00700804">
              <w:rPr>
                <w:rFonts w:eastAsia="標楷體" w:cs="Times New Roman" w:hint="eastAsia"/>
                <w:b/>
              </w:rPr>
              <w:t>全署</w:t>
            </w:r>
          </w:p>
        </w:tc>
      </w:tr>
      <w:tr w:rsidR="001C36F7" w:rsidRPr="00700804" w:rsidTr="00263144">
        <w:trPr>
          <w:trHeight w:hRule="exact" w:val="331"/>
        </w:trPr>
        <w:tc>
          <w:tcPr>
            <w:tcW w:w="637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proofErr w:type="gramStart"/>
            <w:r w:rsidRPr="00700804">
              <w:rPr>
                <w:rFonts w:eastAsia="標楷體" w:cs="Times New Roman" w:hint="eastAsia"/>
              </w:rPr>
              <w:t>浮動點值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0804">
              <w:rPr>
                <w:rFonts w:cs="Times New Roman"/>
                <w:b/>
                <w:bCs/>
                <w:sz w:val="22"/>
                <w:szCs w:val="22"/>
              </w:rPr>
              <w:t>0.8750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0.9445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 w:rsidRPr="00700804">
              <w:rPr>
                <w:rFonts w:eastAsia="標楷體" w:cs="Times New Roman"/>
                <w:b/>
              </w:rPr>
              <w:t xml:space="preserve">0.9020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0.9341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0.9420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1.0134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0804">
              <w:rPr>
                <w:rFonts w:cs="Times New Roman"/>
                <w:b/>
                <w:bCs/>
                <w:sz w:val="22"/>
                <w:szCs w:val="22"/>
              </w:rPr>
              <w:t>0.9130</w:t>
            </w:r>
          </w:p>
        </w:tc>
      </w:tr>
      <w:tr w:rsidR="001C36F7" w:rsidRPr="00700804" w:rsidTr="00263144">
        <w:trPr>
          <w:trHeight w:hRule="exact" w:val="331"/>
        </w:trPr>
        <w:tc>
          <w:tcPr>
            <w:tcW w:w="637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proofErr w:type="gramStart"/>
            <w:r w:rsidRPr="00700804">
              <w:rPr>
                <w:rFonts w:eastAsia="標楷體" w:cs="Times New Roman" w:hint="eastAsia"/>
              </w:rPr>
              <w:t>平均點值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0804">
              <w:rPr>
                <w:rFonts w:cs="Times New Roman"/>
                <w:b/>
                <w:bCs/>
                <w:sz w:val="22"/>
                <w:szCs w:val="22"/>
              </w:rPr>
              <w:t>0.9117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0.9624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  <w:bCs/>
              </w:rPr>
            </w:pPr>
            <w:r w:rsidRPr="00700804">
              <w:rPr>
                <w:rFonts w:eastAsia="標楷體" w:cs="Times New Roman"/>
                <w:b/>
                <w:bCs/>
              </w:rPr>
              <w:t xml:space="preserve">0.9304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0.9546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0.9611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00804">
              <w:rPr>
                <w:rFonts w:cs="Times New Roman"/>
                <w:bCs/>
                <w:sz w:val="22"/>
                <w:szCs w:val="22"/>
              </w:rPr>
              <w:t>1.0096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0804">
              <w:rPr>
                <w:rFonts w:cs="Times New Roman"/>
                <w:b/>
                <w:bCs/>
                <w:sz w:val="22"/>
                <w:szCs w:val="22"/>
              </w:rPr>
              <w:t>0.9391</w:t>
            </w:r>
          </w:p>
        </w:tc>
      </w:tr>
    </w:tbl>
    <w:p w:rsidR="001C36F7" w:rsidRPr="00C76048" w:rsidRDefault="00E873B6" w:rsidP="00E873B6">
      <w:pPr>
        <w:spacing w:line="320" w:lineRule="exact"/>
        <w:rPr>
          <w:rFonts w:eastAsia="標楷體" w:cs="Times New Roman"/>
          <w:color w:val="215868"/>
          <w:sz w:val="28"/>
          <w:szCs w:val="28"/>
        </w:rPr>
      </w:pPr>
      <w:r>
        <w:rPr>
          <w:rFonts w:eastAsia="標楷體" w:cs="Times New Roman" w:hint="eastAsia"/>
          <w:color w:val="215868"/>
          <w:sz w:val="28"/>
          <w:szCs w:val="28"/>
        </w:rPr>
        <w:t xml:space="preserve">   </w:t>
      </w:r>
    </w:p>
    <w:p w:rsidR="001C36F7" w:rsidRPr="00700804" w:rsidRDefault="001C36F7" w:rsidP="001C36F7">
      <w:pPr>
        <w:numPr>
          <w:ilvl w:val="0"/>
          <w:numId w:val="1"/>
        </w:numPr>
        <w:spacing w:beforeLines="50" w:before="180" w:line="380" w:lineRule="exact"/>
        <w:ind w:left="958"/>
        <w:rPr>
          <w:rFonts w:eastAsia="標楷體" w:cs="Times New Roman"/>
          <w:sz w:val="28"/>
          <w:szCs w:val="28"/>
        </w:rPr>
      </w:pPr>
      <w:r w:rsidRPr="00700804">
        <w:rPr>
          <w:rFonts w:eastAsia="標楷體" w:cs="Times New Roman" w:hint="eastAsia"/>
          <w:sz w:val="28"/>
          <w:szCs w:val="28"/>
        </w:rPr>
        <w:t>104</w:t>
      </w:r>
      <w:r w:rsidRPr="00700804">
        <w:rPr>
          <w:rFonts w:eastAsia="標楷體" w:cs="Times New Roman" w:hint="eastAsia"/>
          <w:sz w:val="28"/>
          <w:szCs w:val="28"/>
        </w:rPr>
        <w:t>年第</w:t>
      </w:r>
      <w:r>
        <w:rPr>
          <w:rFonts w:eastAsia="標楷體" w:cs="Times New Roman" w:hint="eastAsia"/>
          <w:sz w:val="28"/>
          <w:szCs w:val="28"/>
        </w:rPr>
        <w:t>2</w:t>
      </w:r>
      <w:r w:rsidRPr="00700804">
        <w:rPr>
          <w:rFonts w:eastAsia="標楷體" w:cs="Times New Roman" w:hint="eastAsia"/>
          <w:sz w:val="28"/>
          <w:szCs w:val="28"/>
        </w:rPr>
        <w:t>季西醫基層總額各就醫</w:t>
      </w:r>
      <w:proofErr w:type="gramStart"/>
      <w:r w:rsidRPr="00700804">
        <w:rPr>
          <w:rFonts w:eastAsia="標楷體" w:cs="Times New Roman" w:hint="eastAsia"/>
          <w:sz w:val="28"/>
          <w:szCs w:val="28"/>
        </w:rPr>
        <w:t>分區點值結算</w:t>
      </w:r>
      <w:proofErr w:type="gramEnd"/>
      <w:r w:rsidRPr="00700804">
        <w:rPr>
          <w:rFonts w:eastAsia="標楷體" w:cs="Times New Roman" w:hint="eastAsia"/>
          <w:sz w:val="28"/>
          <w:szCs w:val="28"/>
        </w:rPr>
        <w:t>：</w:t>
      </w:r>
    </w:p>
    <w:tbl>
      <w:tblPr>
        <w:tblW w:w="4795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175"/>
        <w:gridCol w:w="1175"/>
        <w:gridCol w:w="1175"/>
        <w:gridCol w:w="1175"/>
        <w:gridCol w:w="1175"/>
        <w:gridCol w:w="1175"/>
        <w:gridCol w:w="1165"/>
      </w:tblGrid>
      <w:tr w:rsidR="001C36F7" w:rsidRPr="00700804" w:rsidTr="00263144">
        <w:trPr>
          <w:trHeight w:hRule="exact" w:val="331"/>
        </w:trPr>
        <w:tc>
          <w:tcPr>
            <w:tcW w:w="637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項目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proofErr w:type="gramStart"/>
            <w:r w:rsidRPr="00700804">
              <w:rPr>
                <w:rFonts w:eastAsia="標楷體" w:cs="Times New Roman" w:hint="eastAsia"/>
              </w:rPr>
              <w:t>臺</w:t>
            </w:r>
            <w:proofErr w:type="gramEnd"/>
            <w:r w:rsidRPr="00700804">
              <w:rPr>
                <w:rFonts w:eastAsia="標楷體" w:cs="Times New Roman" w:hint="eastAsia"/>
              </w:rPr>
              <w:t>北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北區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 w:rsidRPr="00700804">
              <w:rPr>
                <w:rFonts w:eastAsia="標楷體" w:cs="Times New Roman" w:hint="eastAsia"/>
                <w:b/>
              </w:rPr>
              <w:t>中區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南區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高屏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r w:rsidRPr="00700804">
              <w:rPr>
                <w:rFonts w:eastAsia="標楷體" w:cs="Times New Roman" w:hint="eastAsia"/>
              </w:rPr>
              <w:t>東區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 w:rsidRPr="00700804">
              <w:rPr>
                <w:rFonts w:eastAsia="標楷體" w:cs="Times New Roman" w:hint="eastAsia"/>
                <w:b/>
              </w:rPr>
              <w:t>全署</w:t>
            </w:r>
          </w:p>
        </w:tc>
      </w:tr>
      <w:tr w:rsidR="001C36F7" w:rsidRPr="00700804" w:rsidTr="00263144">
        <w:trPr>
          <w:trHeight w:hRule="exact" w:val="331"/>
        </w:trPr>
        <w:tc>
          <w:tcPr>
            <w:tcW w:w="637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proofErr w:type="gramStart"/>
            <w:r w:rsidRPr="00700804">
              <w:rPr>
                <w:rFonts w:eastAsia="標楷體" w:cs="Times New Roman" w:hint="eastAsia"/>
              </w:rPr>
              <w:t>浮動點值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>0.8573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0.9304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0.8918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0.9563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0.9542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1.0388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>0.9098</w:t>
            </w:r>
          </w:p>
        </w:tc>
      </w:tr>
      <w:tr w:rsidR="001C36F7" w:rsidRPr="00700804" w:rsidTr="00263144">
        <w:trPr>
          <w:trHeight w:hRule="exact" w:val="331"/>
        </w:trPr>
        <w:tc>
          <w:tcPr>
            <w:tcW w:w="637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</w:rPr>
            </w:pPr>
            <w:proofErr w:type="gramStart"/>
            <w:r w:rsidRPr="00700804">
              <w:rPr>
                <w:rFonts w:eastAsia="標楷體" w:cs="Times New Roman" w:hint="eastAsia"/>
              </w:rPr>
              <w:t>平均點值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>0.8964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0.9500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eastAsia="標楷體" w:cs="Times New Roman"/>
                <w:b/>
                <w:bCs/>
              </w:rPr>
            </w:pPr>
            <w:r>
              <w:rPr>
                <w:rFonts w:eastAsia="標楷體" w:cs="Times New Roman" w:hint="eastAsia"/>
                <w:b/>
                <w:bCs/>
              </w:rPr>
              <w:t>0.9227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0.9694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0.9678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1.0258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C36F7" w:rsidRPr="00700804" w:rsidRDefault="001C36F7" w:rsidP="00263144">
            <w:pPr>
              <w:spacing w:line="38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>0.9356</w:t>
            </w:r>
          </w:p>
        </w:tc>
      </w:tr>
    </w:tbl>
    <w:tbl>
      <w:tblPr>
        <w:tblpPr w:leftFromText="180" w:rightFromText="180" w:vertAnchor="text" w:horzAnchor="margin" w:tblpX="454" w:tblpY="698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3827"/>
      </w:tblGrid>
      <w:tr w:rsidR="001C36F7" w:rsidRPr="001C36F7" w:rsidTr="001C36F7">
        <w:trPr>
          <w:tblHeader/>
        </w:trPr>
        <w:tc>
          <w:tcPr>
            <w:tcW w:w="4394" w:type="dxa"/>
          </w:tcPr>
          <w:p w:rsidR="001C36F7" w:rsidRPr="001C36F7" w:rsidRDefault="001C36F7" w:rsidP="001C36F7">
            <w:pPr>
              <w:pStyle w:val="a3"/>
              <w:rPr>
                <w:rFonts w:ascii="標楷體" w:eastAsia="標楷體" w:hAnsi="標楷體" w:cs="細明體"/>
              </w:rPr>
            </w:pPr>
            <w:r w:rsidRPr="001C36F7">
              <w:rPr>
                <w:rFonts w:ascii="標楷體" w:eastAsia="標楷體" w:hAnsi="標楷體" w:cs="細明體" w:hint="eastAsia"/>
              </w:rPr>
              <w:t>六、</w:t>
            </w:r>
            <w:r w:rsidRPr="001C36F7">
              <w:rPr>
                <w:rFonts w:ascii="標楷體" w:eastAsia="標楷體" w:hAnsi="標楷體" w:cs="細明體"/>
                <w:bCs/>
              </w:rPr>
              <w:t>審查管理指標之</w:t>
            </w:r>
            <w:r w:rsidRPr="001C36F7">
              <w:rPr>
                <w:rFonts w:ascii="標楷體" w:eastAsia="標楷體" w:hAnsi="標楷體" w:cs="細明體" w:hint="eastAsia"/>
                <w:bCs/>
              </w:rPr>
              <w:t>『合計點數</w:t>
            </w:r>
            <w:r w:rsidRPr="001C36F7">
              <w:rPr>
                <w:rFonts w:ascii="標楷體" w:eastAsia="標楷體" w:hAnsi="標楷體" w:cs="細明體"/>
                <w:bCs/>
              </w:rPr>
              <w:t>成長率</w:t>
            </w:r>
            <w:r w:rsidRPr="001C36F7">
              <w:rPr>
                <w:rFonts w:ascii="標楷體" w:eastAsia="標楷體" w:hAnsi="標楷體" w:cs="細明體" w:hint="eastAsia"/>
                <w:bCs/>
              </w:rPr>
              <w:t>』</w:t>
            </w:r>
            <w:r w:rsidRPr="001C36F7">
              <w:rPr>
                <w:rFonts w:ascii="標楷體" w:eastAsia="標楷體" w:hAnsi="標楷體" w:cs="細明體"/>
                <w:bCs/>
              </w:rPr>
              <w:t>計算公式修訂</w:t>
            </w:r>
            <w:r w:rsidRPr="001C36F7">
              <w:rPr>
                <w:rFonts w:ascii="標楷體" w:eastAsia="標楷體" w:hAnsi="標楷體" w:cs="細明體" w:hint="eastAsia"/>
                <w:bCs/>
              </w:rPr>
              <w:t>為：</w:t>
            </w:r>
            <w:r w:rsidRPr="001C36F7">
              <w:rPr>
                <w:rFonts w:ascii="標楷體" w:eastAsia="標楷體" w:hAnsi="標楷體" w:cs="細明體" w:hint="eastAsia"/>
              </w:rPr>
              <w:t xml:space="preserve"> (本月合計點數－去年同季月平均合計點數)</w:t>
            </w:r>
            <w:proofErr w:type="gramStart"/>
            <w:r w:rsidRPr="001C36F7">
              <w:rPr>
                <w:rFonts w:ascii="標楷體" w:eastAsia="標楷體" w:hAnsi="標楷體" w:cs="細明體" w:hint="eastAsia"/>
              </w:rPr>
              <w:t>╱</w:t>
            </w:r>
            <w:proofErr w:type="gramEnd"/>
            <w:r w:rsidRPr="001C36F7">
              <w:rPr>
                <w:rFonts w:ascii="標楷體" w:eastAsia="標楷體" w:hAnsi="標楷體" w:cs="細明體" w:hint="eastAsia"/>
              </w:rPr>
              <w:t>(去年同季月平均合計點數)或（本月合計點數</w:t>
            </w:r>
            <w:proofErr w:type="gramStart"/>
            <w:r w:rsidRPr="001C36F7">
              <w:rPr>
                <w:rFonts w:ascii="標楷體" w:eastAsia="標楷體" w:hAnsi="標楷體" w:cs="細明體" w:hint="eastAsia"/>
              </w:rPr>
              <w:t>–</w:t>
            </w:r>
            <w:proofErr w:type="gramEnd"/>
            <w:r w:rsidRPr="001C36F7">
              <w:rPr>
                <w:rFonts w:ascii="標楷體" w:eastAsia="標楷體" w:hAnsi="標楷體" w:cs="細明體" w:hint="eastAsia"/>
              </w:rPr>
              <w:t>去年同月合計點數）</w:t>
            </w:r>
            <w:proofErr w:type="gramStart"/>
            <w:r w:rsidRPr="001C36F7">
              <w:rPr>
                <w:rFonts w:ascii="標楷體" w:eastAsia="標楷體" w:hAnsi="標楷體" w:cs="細明體" w:hint="eastAsia"/>
              </w:rPr>
              <w:t>╱</w:t>
            </w:r>
            <w:proofErr w:type="gramEnd"/>
            <w:r w:rsidRPr="001C36F7">
              <w:rPr>
                <w:rFonts w:ascii="標楷體" w:eastAsia="標楷體" w:hAnsi="標楷體" w:cs="細明體" w:hint="eastAsia"/>
              </w:rPr>
              <w:t>去年同月合計點數，兩者取成長率低者列為指標值。</w:t>
            </w:r>
          </w:p>
        </w:tc>
        <w:tc>
          <w:tcPr>
            <w:tcW w:w="1134" w:type="dxa"/>
          </w:tcPr>
          <w:p w:rsidR="001C36F7" w:rsidRPr="001C36F7" w:rsidRDefault="001C36F7" w:rsidP="001C36F7">
            <w:pPr>
              <w:pStyle w:val="a3"/>
              <w:rPr>
                <w:rFonts w:ascii="標楷體" w:eastAsia="標楷體" w:hAnsi="標楷體" w:cs="細明體"/>
              </w:rPr>
            </w:pPr>
            <w:r w:rsidRPr="001C36F7">
              <w:rPr>
                <w:rFonts w:ascii="標楷體" w:eastAsia="標楷體" w:hAnsi="標楷體" w:cs="細明體" w:hint="eastAsia"/>
              </w:rPr>
              <w:t>中區業務組</w:t>
            </w:r>
          </w:p>
        </w:tc>
        <w:tc>
          <w:tcPr>
            <w:tcW w:w="3827" w:type="dxa"/>
          </w:tcPr>
          <w:p w:rsidR="001C36F7" w:rsidRPr="001C36F7" w:rsidRDefault="001C36F7" w:rsidP="001C36F7">
            <w:pPr>
              <w:pStyle w:val="a3"/>
              <w:rPr>
                <w:rFonts w:ascii="標楷體" w:eastAsia="標楷體" w:hAnsi="標楷體" w:cs="細明體"/>
                <w:bCs/>
              </w:rPr>
            </w:pPr>
            <w:r w:rsidRPr="001C36F7">
              <w:rPr>
                <w:rFonts w:ascii="標楷體" w:eastAsia="標楷體" w:hAnsi="標楷體" w:cs="細明體" w:hint="eastAsia"/>
                <w:bCs/>
              </w:rPr>
              <w:t>已配合修訂104年6月費用起實施</w:t>
            </w:r>
            <w:r w:rsidRPr="001C36F7">
              <w:rPr>
                <w:rFonts w:ascii="標楷體" w:eastAsia="標楷體" w:hAnsi="標楷體" w:cs="細明體" w:hint="eastAsia"/>
              </w:rPr>
              <w:t>。</w:t>
            </w:r>
          </w:p>
        </w:tc>
      </w:tr>
    </w:tbl>
    <w:p w:rsidR="00965661" w:rsidRPr="00E873B6" w:rsidRDefault="001C36F7" w:rsidP="006D13FE">
      <w:pPr>
        <w:pStyle w:val="a3"/>
        <w:rPr>
          <w:rFonts w:ascii="標楷體" w:eastAsia="標楷體" w:hAnsi="標楷體" w:cs="細明體"/>
        </w:rPr>
      </w:pPr>
      <w:r>
        <w:rPr>
          <w:rFonts w:hAnsi="細明體" w:cs="細明體" w:hint="eastAsia"/>
        </w:rPr>
        <w:t xml:space="preserve"> </w:t>
      </w:r>
      <w:r w:rsidR="00E873B6">
        <w:rPr>
          <w:rFonts w:hAnsi="細明體" w:cs="細明體" w:hint="eastAsia"/>
        </w:rPr>
        <w:t xml:space="preserve">  三</w:t>
      </w:r>
      <w:r w:rsidR="00E873B6">
        <w:rPr>
          <w:rFonts w:ascii="標楷體" w:eastAsia="標楷體" w:hAnsi="標楷體" w:cs="細明體" w:hint="eastAsia"/>
        </w:rPr>
        <w:t>、</w:t>
      </w:r>
    </w:p>
    <w:p w:rsidR="001C36F7" w:rsidRDefault="001C36F7" w:rsidP="001C36F7">
      <w:pPr>
        <w:pStyle w:val="a3"/>
        <w:rPr>
          <w:rFonts w:hAnsi="細明體" w:cs="細明體"/>
        </w:rPr>
      </w:pPr>
    </w:p>
    <w:p w:rsidR="001C36F7" w:rsidRP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>
        <w:rPr>
          <w:rFonts w:hAnsi="細明體" w:cs="細明體" w:hint="eastAsia"/>
        </w:rPr>
        <w:t xml:space="preserve"> </w:t>
      </w:r>
      <w:r w:rsidRPr="001C36F7">
        <w:rPr>
          <w:rFonts w:ascii="標楷體" w:eastAsia="標楷體" w:hAnsi="標楷體" w:cs="細明體" w:hint="eastAsia"/>
          <w:sz w:val="26"/>
          <w:szCs w:val="26"/>
        </w:rPr>
        <w:t xml:space="preserve"> 四、</w:t>
      </w:r>
      <w:r w:rsidRPr="001C36F7">
        <w:rPr>
          <w:rFonts w:ascii="標楷體" w:eastAsia="標楷體" w:hAnsi="標楷體" w:cs="細明體" w:hint="eastAsia"/>
          <w:sz w:val="26"/>
          <w:szCs w:val="26"/>
        </w:rPr>
        <w:tab/>
        <w:t>重申確實依實際執行醫療服務之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醫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事人員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覈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實申報醫療費用規定</w:t>
      </w:r>
    </w:p>
    <w:p w:rsidR="001C36F7" w:rsidRP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 w:rsidRPr="001C36F7">
        <w:rPr>
          <w:rFonts w:ascii="標楷體" w:eastAsia="標楷體" w:hAnsi="標楷體" w:cs="細明體" w:hint="eastAsia"/>
          <w:sz w:val="26"/>
          <w:szCs w:val="26"/>
        </w:rPr>
        <w:t>（一）</w:t>
      </w:r>
      <w:r w:rsidRPr="001C36F7">
        <w:rPr>
          <w:rFonts w:ascii="標楷體" w:eastAsia="標楷體" w:hAnsi="標楷體" w:cs="細明體" w:hint="eastAsia"/>
          <w:sz w:val="26"/>
          <w:szCs w:val="26"/>
        </w:rPr>
        <w:tab/>
        <w:t>違規查處專案特約院所未依實際執行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醫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事人員申報醫療費用，除不予給付相關醫療費用外，另依全民健康保險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醫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事服務機構特約及管理辦法第39條第4款規定：其他以不正當行為或以虛偽之證明、報告或陳述，申報醫療費用，保險人予以停約一個月至三個月。請各醫師公會轉知會員確實依規定申報，以免自誤。</w:t>
      </w:r>
    </w:p>
    <w:p w:rsidR="001C36F7" w:rsidRP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 w:rsidRPr="001C36F7">
        <w:rPr>
          <w:rFonts w:ascii="標楷體" w:eastAsia="標楷體" w:hAnsi="標楷體" w:cs="細明體" w:hint="eastAsia"/>
          <w:sz w:val="26"/>
          <w:szCs w:val="26"/>
        </w:rPr>
        <w:t xml:space="preserve"> (二)、 請院所依實際進貨藥品及使用量申報費用</w:t>
      </w:r>
    </w:p>
    <w:p w:rsid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 w:rsidRPr="001C36F7">
        <w:rPr>
          <w:rFonts w:ascii="標楷體" w:eastAsia="標楷體" w:hAnsi="標楷體" w:cs="細明體" w:hint="eastAsia"/>
          <w:sz w:val="26"/>
          <w:szCs w:val="26"/>
        </w:rPr>
        <w:t xml:space="preserve">     辦理「申報與購買數量發票憑證吻合情形查對作業」，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針對原瓶包裝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口服液劑及高單價藥品，調閱進貨證明審查，發現有部分診所未確實自清不正確申報之情形，除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追扣費用外院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所已涉及虛浮報之情形，</w:t>
      </w:r>
    </w:p>
    <w:p w:rsid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</w:p>
    <w:p w:rsidR="001C36F7" w:rsidRP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 w:hint="eastAsia"/>
          <w:sz w:val="26"/>
          <w:szCs w:val="26"/>
        </w:rPr>
        <w:t>五</w:t>
      </w:r>
      <w:r w:rsidRPr="001C36F7">
        <w:rPr>
          <w:rFonts w:ascii="標楷體" w:eastAsia="標楷體" w:hAnsi="標楷體" w:cs="細明體" w:hint="eastAsia"/>
          <w:sz w:val="26"/>
          <w:szCs w:val="26"/>
        </w:rPr>
        <w:t>、</w:t>
      </w:r>
      <w:r w:rsidRPr="001C36F7">
        <w:rPr>
          <w:rFonts w:ascii="標楷體" w:eastAsia="標楷體" w:hAnsi="標楷體" w:cs="細明體" w:hint="eastAsia"/>
          <w:sz w:val="26"/>
          <w:szCs w:val="26"/>
        </w:rPr>
        <w:tab/>
        <w:t>ICD-10-CM/PCS預定民國105年全國健保特約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院所門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、住診全面單軌申報，請各醫師公會轉知會員。</w:t>
      </w:r>
    </w:p>
    <w:p w:rsidR="001C36F7" w:rsidRP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 w:rsidRPr="001C36F7">
        <w:rPr>
          <w:rFonts w:ascii="標楷體" w:eastAsia="標楷體" w:hAnsi="標楷體" w:cs="細明體" w:hint="eastAsia"/>
          <w:sz w:val="26"/>
          <w:szCs w:val="26"/>
        </w:rPr>
        <w:t>（一）</w:t>
      </w:r>
      <w:r w:rsidRPr="001C36F7">
        <w:rPr>
          <w:rFonts w:ascii="標楷體" w:eastAsia="標楷體" w:hAnsi="標楷體" w:cs="細明體" w:hint="eastAsia"/>
          <w:sz w:val="26"/>
          <w:szCs w:val="26"/>
        </w:rPr>
        <w:tab/>
        <w:t xml:space="preserve">另以ICD-10-CM/PCS 編碼，於 104年7至10月中，任一月份之次月 30 日前於「健保資訊網服務系統（VPN）」之「ICD-10-CM/PCS 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預檢醫療費用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申報資料上傳」作業區，依現行醫療費用申報格式申報，並</w:t>
      </w:r>
      <w:proofErr w:type="gramStart"/>
      <w:r w:rsidRPr="001C36F7">
        <w:rPr>
          <w:rFonts w:ascii="標楷體" w:eastAsia="標楷體" w:hAnsi="標楷體" w:cs="細明體" w:hint="eastAsia"/>
          <w:sz w:val="26"/>
          <w:szCs w:val="26"/>
        </w:rPr>
        <w:t>通過預檢檢核</w:t>
      </w:r>
      <w:proofErr w:type="gramEnd"/>
      <w:r w:rsidRPr="001C36F7">
        <w:rPr>
          <w:rFonts w:ascii="標楷體" w:eastAsia="標楷體" w:hAnsi="標楷體" w:cs="細明體" w:hint="eastAsia"/>
          <w:sz w:val="26"/>
          <w:szCs w:val="26"/>
        </w:rPr>
        <w:t>。</w:t>
      </w:r>
    </w:p>
    <w:p w:rsidR="001C36F7" w:rsidRDefault="001C36F7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 w:rsidRPr="001C36F7">
        <w:rPr>
          <w:rFonts w:ascii="標楷體" w:eastAsia="標楷體" w:hAnsi="標楷體" w:cs="細明體" w:hint="eastAsia"/>
          <w:sz w:val="26"/>
          <w:szCs w:val="26"/>
        </w:rPr>
        <w:t>獎勵定額：符合獎勵標準之診所，每家給予定額獎勵金 4,900 元</w:t>
      </w:r>
    </w:p>
    <w:p w:rsidR="00F92C8F" w:rsidRDefault="00F92C8F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</w:p>
    <w:p w:rsidR="00CC2499" w:rsidRDefault="00D66A2C" w:rsidP="001C36F7">
      <w:pPr>
        <w:pStyle w:val="a3"/>
        <w:rPr>
          <w:rFonts w:ascii="標楷體" w:eastAsia="標楷體" w:hAnsi="標楷體" w:cs="細明體"/>
          <w:noProof/>
          <w:sz w:val="26"/>
          <w:szCs w:val="26"/>
          <w:lang w:bidi="ar-SA"/>
        </w:rPr>
      </w:pPr>
      <w:r>
        <w:rPr>
          <w:rFonts w:ascii="標楷體" w:eastAsia="標楷體" w:hAnsi="標楷體" w:cs="細明體" w:hint="eastAsia"/>
          <w:noProof/>
          <w:sz w:val="26"/>
          <w:szCs w:val="26"/>
          <w:lang w:bidi="ar-SA"/>
        </w:rPr>
        <w:lastRenderedPageBreak/>
        <w:t>六.</w:t>
      </w:r>
      <w:r w:rsidR="00CC2499">
        <w:rPr>
          <w:rFonts w:ascii="標楷體" w:eastAsia="標楷體" w:hAnsi="標楷體" w:cs="細明體" w:hint="eastAsia"/>
          <w:noProof/>
          <w:sz w:val="26"/>
          <w:szCs w:val="26"/>
          <w:lang w:bidi="ar-SA"/>
        </w:rPr>
        <w:drawing>
          <wp:inline distT="0" distB="0" distL="0" distR="0">
            <wp:extent cx="6096000" cy="23907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2C" w:rsidRDefault="00D66A2C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</w:p>
    <w:p w:rsidR="00D66A2C" w:rsidRDefault="00D66A2C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</w:p>
    <w:p w:rsidR="00D66A2C" w:rsidRDefault="00D66A2C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</w:p>
    <w:p w:rsidR="00D66A2C" w:rsidRDefault="00D66A2C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</w:p>
    <w:p w:rsidR="00D66A2C" w:rsidRDefault="00CC2499" w:rsidP="001C36F7">
      <w:pPr>
        <w:pStyle w:val="a3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 w:hint="eastAsia"/>
          <w:noProof/>
          <w:sz w:val="26"/>
          <w:szCs w:val="26"/>
          <w:lang w:bidi="ar-SA"/>
        </w:rPr>
        <w:drawing>
          <wp:inline distT="0" distB="0" distL="0" distR="0" wp14:anchorId="657A0325" wp14:editId="14D78919">
            <wp:extent cx="6096000" cy="5029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A2C" w:rsidSect="006D13FE"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D2" w:rsidRDefault="004E28D2" w:rsidP="001C36F7">
      <w:r>
        <w:separator/>
      </w:r>
    </w:p>
  </w:endnote>
  <w:endnote w:type="continuationSeparator" w:id="0">
    <w:p w:rsidR="004E28D2" w:rsidRDefault="004E28D2" w:rsidP="001C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D2" w:rsidRDefault="004E28D2" w:rsidP="001C36F7">
      <w:r>
        <w:separator/>
      </w:r>
    </w:p>
  </w:footnote>
  <w:footnote w:type="continuationSeparator" w:id="0">
    <w:p w:rsidR="004E28D2" w:rsidRDefault="004E28D2" w:rsidP="001C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608"/>
    <w:multiLevelType w:val="hybridMultilevel"/>
    <w:tmpl w:val="2F006F2E"/>
    <w:lvl w:ilvl="0" w:tplc="BA0AA874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ascii="標楷體" w:hAnsi="標楷體" w:hint="eastAsia"/>
        <w:color w:val="auto"/>
        <w:lang w:val="en-US"/>
      </w:rPr>
    </w:lvl>
    <w:lvl w:ilvl="1" w:tplc="39480D28">
      <w:start w:val="1"/>
      <w:numFmt w:val="taiwaneseCountingThousand"/>
      <w:lvlText w:val="（%2）"/>
      <w:lvlJc w:val="left"/>
      <w:pPr>
        <w:ind w:left="1754" w:hanging="990"/>
      </w:pPr>
      <w:rPr>
        <w:rFonts w:hint="eastAsia"/>
        <w:b w:val="0"/>
        <w:strike w:val="0"/>
        <w:dstrike w:val="0"/>
        <w:color w:val="auto"/>
        <w:sz w:val="28"/>
        <w:szCs w:val="28"/>
        <w:u w:val="none"/>
        <w:effect w:val="none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 w:tplc="3D2C4846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7"/>
    <w:rsid w:val="00043365"/>
    <w:rsid w:val="000F3DD9"/>
    <w:rsid w:val="001C36F7"/>
    <w:rsid w:val="00261043"/>
    <w:rsid w:val="004E28D2"/>
    <w:rsid w:val="005A03E9"/>
    <w:rsid w:val="006D13FE"/>
    <w:rsid w:val="006E3FE3"/>
    <w:rsid w:val="00965661"/>
    <w:rsid w:val="009832BA"/>
    <w:rsid w:val="009C2CC8"/>
    <w:rsid w:val="00A43947"/>
    <w:rsid w:val="00A943B8"/>
    <w:rsid w:val="00CC2499"/>
    <w:rsid w:val="00D66A2C"/>
    <w:rsid w:val="00E873B6"/>
    <w:rsid w:val="00F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F7"/>
    <w:pPr>
      <w:widowControl w:val="0"/>
    </w:pPr>
    <w:rPr>
      <w:rFonts w:ascii="Times New Roman" w:eastAsia="新細明體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13F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6D13FE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1C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3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36F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A2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D66A2C"/>
    <w:rPr>
      <w:rFonts w:asciiTheme="majorHAnsi" w:eastAsiaTheme="majorEastAsia" w:hAnsiTheme="majorHAnsi" w:cs="Mangal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F7"/>
    <w:pPr>
      <w:widowControl w:val="0"/>
    </w:pPr>
    <w:rPr>
      <w:rFonts w:ascii="Times New Roman" w:eastAsia="新細明體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13F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6D13FE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1C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3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36F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A2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D66A2C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chaoshang lin</dc:creator>
  <cp:keywords/>
  <dc:description/>
  <cp:lastModifiedBy>chaoshang lin</cp:lastModifiedBy>
  <cp:revision>2</cp:revision>
  <dcterms:created xsi:type="dcterms:W3CDTF">2015-10-19T08:31:00Z</dcterms:created>
  <dcterms:modified xsi:type="dcterms:W3CDTF">2015-10-19T08:31:00Z</dcterms:modified>
</cp:coreProperties>
</file>